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3.000509.H01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Chế độ, chính sách đối với người được huy động, người tham gia phòng cháy, chữa cháy, cứu nạn, cứu hộ chưa tham gia bảo hiểm y tế, bảo hiểm xã hội mà bị tai nạn, bị thương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đề nghị được hưởng chế độ hoặc người đại diện hợp pháp của người được hưởng chế độ chuẩn bị hồ sơ theo quy định của pháp luật.
- Bước 2: Người đề nghị được hưởng chế độ hoặc người đại diện hợp pháp của người được hưởng chế độ nộp hồ sơ tại Ủy ban nhân dân cấp xã.
- Bước 3: cán bộ tiếp nhận kiểm tra tính hợp lệ và thành phần của hồ sơ (các văn bản giấy tờ có trong hồ sơ khi gửi Ủy ban nhân dân cấp xã là bản chính hoặc bản chứng thực hoặc bản sao hoặc bản chụp kèm theo bản chính để cán bộ tiếp nhận hồ sơ đối chiếu trong trường hợp nộp trực tiếp hoặc qua bưu chính công ích; bản chính hoặc bản chứng thực điện tử trong trường hợp nộp hồ sơ trực tuyến qua Cổng Dịch vụ công.
+ Nếu hồ sơ hợp lệ và đủ thành phần thì viết giấy tiếp nhận hồ sơ và hẹn trả kết quả hoặc thông báo về việc tiếp nhận hồ sơ qua Cổng Dịch vụ công;
+ Nếu hồ sơ chưa đầy đủ thành phần hoặc chưa hợp lệ thì viết phiếu yêu cầu bổ sung, hoàn thiện hồ sơ hoặc phiếu từ chối tiếp nhận, giải quyết hồ sơ hoặc thông báo về việc yêu cầu chỉnh sửa, bổ sung hồ sơ qua Cổng Dịch vụ công.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nộp hồ sơ trực tiếp tại Ủy ban nhân dân cấp xã.
- Dịch vụ bưu chính công ích: nộp hồ sơ qua dịch vụ bưu chính công ích.
- Trực tuyến: nộp hồ sơ tại Cổng Dịch vụ công.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nộp hồ sơ trực tiếp tại Ủy ban nhân dân cấp xã.
- Dịch vụ bưu chính công ích: nộp hồ sơ qua dịch vụ bưu chính công ích.
- Trực tuyến: nộp hồ sơ tại Cổng Dịch vụ công.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nộp hồ sơ trực tiếp tại Ủy ban nhân dân cấp xã.
- Dịch vụ bưu chính công ích: nộp hồ sơ qua dịch vụ bưu chính công ích.
- Trực tuyến: nộp hồ sơ tại Cổng Dịch vụ công.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đề nghị hỗ trợ chi trả chi phí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thanh toán chi phí khám bệnh, chữa bệnh của người được hỗ trợ chế độ bị tai nạn, bị thương hoặc người đại diện hợp pháp (Mẫu số PC21 kèm theo Nghị định số 105/2025/NĐ-CP ngày 15/5/2025 của Chính Phủ); hóa đơn thu tiền; giấy ra viện.Thông tin về thành phần hồ sơ khi đã được kết nối, chia sẻ, cập nhật trên cơ sở dữ liệu quốc gia hoặc cơ sở dữ liệu chuyên ngành thì cơ quan có thẩm quyền giải quyết phải khai thác trực tuyến để giải quyết mà không được yêu cầu người đề nghị cung cấp hồ sơ giấy;</w:t>
            </w:r>
          </w:p>
        </w:tc>
        <w:tc>
          <w:p/>
          <w:p>
            <w:pPr>
              <w:spacing w:after="0" w:before="0" w:lineRule="auto" w:line="276"/>
              <w:jc w:val="left"/>
            </w:pPr>
            <w:r>
              <w:rPr>
                <w:rFonts w:ascii="Times New Roman" w:hAnsi="Times New Roman" w:cs="Times New Roman" w:eastAsia="Times New Roman"/>
                <w:b w:val="false"/>
                <w:sz w:val="26"/>
              </w:rPr>
              <w:t>PC21.docx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đề nghị trợ cấp theo mức suy giảm khả năng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trợ cấp tai nạn (Mẫu số PC22 kèm theo Nghị định số 105/2025/NĐ-CP ngày 15/5/2025 của Chính Phủ); giấy ra viện hoặc trích sao hồ sơ bệnh án sau khi điều trị tai nạn đối với trường hợp điều trị nội trú hoặc giấy chứng nhận thương tích do cơ sở y tế nơi đã cấp cứu, điều trị cấp; biên bản giám định mức suy giảm khả năng lao động của Hội đồng giám định y khoa cấp tỉnh và tương đương trở lên.</w:t>
            </w:r>
          </w:p>
        </w:tc>
        <w:tc>
          <w:p/>
          <w:p>
            <w:pPr>
              <w:spacing w:after="0" w:before="0" w:lineRule="auto" w:line="276"/>
              <w:jc w:val="left"/>
            </w:pPr>
            <w:r>
              <w:rPr>
                <w:rFonts w:ascii="Times New Roman" w:hAnsi="Times New Roman" w:cs="Times New Roman" w:eastAsia="Times New Roman"/>
                <w:b w:val="false"/>
                <w:sz w:val="26"/>
              </w:rPr>
              <w:t>PC22.docx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trả kinh phí hỗ trợ khám bệnh, chữa bệnh, trợ cấp cho người bị tai nạn, bị thương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36/2025/TT-BCA</w:t>
            </w:r>
          </w:p>
        </w:tc>
        <w:tc>
          <w:p/>
          <w:p>
            <w:pPr>
              <w:spacing w:after="0" w:before="0" w:lineRule="auto" w:line="276"/>
              <w:jc w:val="left"/>
            </w:pPr>
            <w:r>
              <w:rPr>
                <w:rFonts w:ascii="Times New Roman" w:hAnsi="Times New Roman" w:cs="Times New Roman" w:eastAsia="Times New Roman"/>
                <w:b w:val="false"/>
                <w:sz w:val="26"/>
              </w:rPr>
              <w:t>THÔNG TƯ  SỐ 36/2025/TT-BCA QUY ĐỊNH CHI TIẾT MỘT SỐ ĐIỀU CỦA LUẬT PHÒNG CHÁY, CHỮA CHÁY VÀ CỨU NẠN, CỨU HỘ VÀ NGHỊ ĐỊNH SỐ 105/2025/NĐ-CP NGÀY 15 THÁNG 5 NĂM 2025 CỦA CHÍNH PHỦ 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2026-02-06T07:44:23Z</dcterms:created>
  <dc:creator>Apache POI</dc:creator>
</cp:coreProperties>
</file>